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shd w:val="clear" w:color="auto" w:fill="FFFFFF"/>
        <w:spacing w:before="0" w:after="150"/>
        <w:jc w:val="center"/>
        <w:rPr>
          <w:rFonts w:hint="eastAsia" w:ascii="方正小标宋_GBK" w:hAnsi="方正小标宋_GBK" w:eastAsia="方正小标宋_GBK" w:cs="方正小标宋_GBK"/>
          <w:b w:val="0"/>
          <w:bCs w:val="0"/>
          <w:color w:val="000000"/>
          <w:sz w:val="36"/>
          <w:szCs w:val="36"/>
        </w:rPr>
      </w:pPr>
      <w:r>
        <w:rPr>
          <w:rFonts w:hint="eastAsia" w:ascii="方正小标宋_GBK" w:hAnsi="方正小标宋_GBK" w:eastAsia="方正小标宋_GBK" w:cs="方正小标宋_GBK"/>
          <w:b w:val="0"/>
          <w:bCs w:val="0"/>
          <w:color w:val="000000"/>
          <w:sz w:val="36"/>
          <w:szCs w:val="36"/>
        </w:rPr>
        <w:t>《信访事项内容分类（2020年修订）》</w:t>
      </w:r>
    </w:p>
    <w:p>
      <w:pPr>
        <w:widowControl/>
        <w:shd w:val="clear" w:color="auto" w:fill="FFFFFF"/>
        <w:spacing w:line="450" w:lineRule="atLeast"/>
        <w:jc w:val="center"/>
        <w:rPr>
          <w:rFonts w:hint="eastAsia" w:ascii="微软雅黑" w:hAnsi="微软雅黑" w:eastAsia="微软雅黑" w:cs="宋体"/>
          <w:color w:val="383838"/>
          <w:kern w:val="0"/>
          <w:sz w:val="24"/>
          <w:szCs w:val="24"/>
        </w:rPr>
      </w:pPr>
      <w:r>
        <w:rPr>
          <w:rFonts w:hint="eastAsia" w:ascii="楷体" w:hAnsi="楷体" w:eastAsia="楷体" w:cs="宋体"/>
          <w:color w:val="383838"/>
          <w:kern w:val="0"/>
          <w:sz w:val="24"/>
          <w:szCs w:val="24"/>
        </w:rPr>
        <w:t>（国信发〔2020〕4号）</w:t>
      </w:r>
      <w:bookmarkStart w:id="0" w:name="_GoBack"/>
      <w:bookmarkEnd w:id="0"/>
    </w:p>
    <w:tbl>
      <w:tblPr>
        <w:tblStyle w:val="7"/>
        <w:tblW w:w="8742" w:type="dxa"/>
        <w:jc w:val="center"/>
        <w:tblBorders>
          <w:top w:val="single" w:color="000000" w:sz="24" w:space="0"/>
          <w:left w:val="single" w:color="000000" w:sz="24" w:space="0"/>
          <w:bottom w:val="single" w:color="000000" w:sz="24" w:space="0"/>
          <w:right w:val="single" w:color="000000" w:sz="24" w:space="0"/>
          <w:insideH w:val="none" w:color="auto" w:sz="0" w:space="0"/>
          <w:insideV w:val="none" w:color="auto" w:sz="0" w:space="0"/>
        </w:tblBorders>
        <w:shd w:val="clear" w:color="auto" w:fill="FFFFFF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551"/>
        <w:gridCol w:w="2679"/>
        <w:gridCol w:w="3349"/>
        <w:gridCol w:w="1163"/>
      </w:tblGrid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shd w:val="clear" w:color="auto" w:fill="FFFFFF"/>
        </w:tblPrEx>
        <w:trPr>
          <w:trHeight w:val="390" w:hRule="atLeast"/>
          <w:jc w:val="center"/>
        </w:trPr>
        <w:tc>
          <w:tcPr>
            <w:tcW w:w="155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黑体_GBK" w:hAnsi="方正黑体_GBK" w:eastAsia="方正黑体_GBK" w:cs="方正黑体_GBK"/>
                <w:color w:val="000000"/>
                <w:kern w:val="0"/>
                <w:sz w:val="21"/>
                <w:szCs w:val="21"/>
              </w:rPr>
              <w:t>一级分类</w:t>
            </w:r>
          </w:p>
        </w:tc>
        <w:tc>
          <w:tcPr>
            <w:tcW w:w="2679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黑体_GBK" w:hAnsi="方正黑体_GBK" w:eastAsia="方正黑体_GBK" w:cs="方正黑体_GBK"/>
                <w:color w:val="000000"/>
                <w:kern w:val="0"/>
                <w:sz w:val="21"/>
                <w:szCs w:val="21"/>
              </w:rPr>
              <w:t>二级分类</w:t>
            </w:r>
          </w:p>
        </w:tc>
        <w:tc>
          <w:tcPr>
            <w:tcW w:w="3349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黑体_GBK" w:hAnsi="方正黑体_GBK" w:eastAsia="方正黑体_GBK" w:cs="方正黑体_GBK"/>
                <w:color w:val="000000"/>
                <w:kern w:val="0"/>
                <w:sz w:val="21"/>
                <w:szCs w:val="21"/>
              </w:rPr>
              <w:t>三级分类</w:t>
            </w:r>
          </w:p>
        </w:tc>
        <w:tc>
          <w:tcPr>
            <w:tcW w:w="116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黑体_GBK" w:hAnsi="方正黑体_GBK" w:eastAsia="方正黑体_GBK" w:cs="方正黑体_GBK"/>
                <w:color w:val="000000"/>
                <w:kern w:val="0"/>
                <w:sz w:val="21"/>
                <w:szCs w:val="21"/>
              </w:rPr>
              <w:t>备注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（一）</w:t>
            </w: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br w:type="textWrapping"/>
            </w: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农村农业</w:t>
            </w: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1.村务管理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①集体资产管理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②集体财务公开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③村务公开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④村级债务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⑤集体经济组织成员资格认定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⑥农村社会事业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2.土地承包经营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①土地承包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②土地流转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3.农村宅基地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①宅基地审批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②收回宅基地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③宅基地纠纷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4.扶贫开发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①扶贫开发政策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②扶贫开发资金使用管理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3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5.农副产品流通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①价格质量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②运输购销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③储备供应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6.农资农技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①农资价格质量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②农技推广应用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7.农垦农场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①经营管理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②职工待遇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8.畜牧养殖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①养殖管理</w:t>
            </w:r>
          </w:p>
        </w:tc>
        <w:tc>
          <w:tcPr>
            <w:tcW w:w="1163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spacing w:val="-18"/>
                <w:kern w:val="0"/>
                <w:sz w:val="21"/>
                <w:szCs w:val="21"/>
              </w:rPr>
              <w:t>含野生动物养殖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②屠宰管理</w:t>
            </w:r>
          </w:p>
        </w:tc>
        <w:tc>
          <w:tcPr>
            <w:tcW w:w="1163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shd w:val="clear" w:color="auto" w:fill="FFFFFF"/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9.动物防疫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①疫情防控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②扑杀补偿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10.水利水电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①规划设计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②工程建设管理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③防汛抗旱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④江河湖治理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⑤引水调水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⑥水事纠纷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11.水库移民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①移民补偿安置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②后期扶持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12.惠农补贴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①耕地地力保护补贴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②农机农资补贴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③其他补贴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13.其他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①农村“八大员”问题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②其他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（二）</w:t>
            </w: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br w:type="textWrapping"/>
            </w: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自然资源</w:t>
            </w: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1.土地资源管理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①国土空间规划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②耕地保护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③土地权属纠纷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④土地转让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2.土地征收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①审批手续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②征收征用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③安置补偿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④失地农民保障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3.不动产登记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①不动产登记事务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②不动产登记纠纷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③不动产评估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4.矿产资源管理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①地质勘查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②矿产开采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③矿山地质环境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5.林业管理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①国有林业资产管理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②防沙治沙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③退耕还林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④采伐运输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⑤森林防火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⑥林权改革及林业经营者权益维护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⑦国有林场改革发展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⑧林业补助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6.草原管理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①草原保护修护修复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②草原流转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③草原承包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7.海洋气象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①海域使用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②海岛使用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③气象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8.野生资源管理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①野生动植物保护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②其他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9.自然保护地管理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①自然保护地规划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②建设管理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10.其他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①其他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（三）</w:t>
            </w: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br w:type="textWrapping"/>
            </w: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城乡建设</w:t>
            </w: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1.国有土地上房屋征收与</w:t>
            </w: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br w:type="textWrapping"/>
            </w: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补偿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①征收手续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②安置补偿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③房屋拆迁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④回迁房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⑤棚户区改造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⑥城镇危房改造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nil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2.集体土地上房屋拆迁与</w:t>
            </w: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br w:type="textWrapping"/>
            </w: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补偿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①安置补偿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nil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②房屋拆迁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nil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③回迁房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nil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④城中村改造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3.城市建设和管理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①城市公共设施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②园林绿化环卫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③居民服务设施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④城管执法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4.城乡规划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①历史文化名城保护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②违法建设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③建筑日照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5.住房保障与房地产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①保障性住房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②房地产开发管理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③产权交易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④物业服务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⑤住房公积金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⑥房屋租赁管理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3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6.建筑市场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①招标投标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②勘察设计和施工监管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③企业资质和执业资格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④拖欠工程款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7.工程管理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①工程质量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②施工安全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③抗震防灾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④消防审验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8.村镇建设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①小城镇建设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②新农村建设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9.其他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①其他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（四）</w:t>
            </w: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br w:type="textWrapping"/>
            </w: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劳动和</w:t>
            </w: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br w:type="textWrapping"/>
            </w: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社会保障</w:t>
            </w: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1.城镇职工社会保险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①职工养老保险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②职工失业保险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③职工工伤保险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2.城乡居民社会保险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①城乡居民养老保险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3.医疗和生育保险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①职工医疗保险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②城乡居民医疗保险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③生育保险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4.社保基金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①基金管理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5.工资福利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①工资调整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②工资发放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③福利待遇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④最低工资标准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⑤假期工资待遇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⑥同工同酬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⑦工亡职工遗属待遇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6.就业培训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①就业和再就业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②职业培训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③职业技能鉴定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7.劳动保护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①劳动环境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②劳动安全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③女工和未成年工保护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④工作时间和休息休假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8.劳动关系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①劳动合同纠纷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②协议解除劳动关系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③劳务派遣纠纷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④非法用工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⑤拖欠农民工工资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⑥新业态劳动用工纠纷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9.退休政策及待遇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①退休政策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②退休人员待遇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③内部退养人员待遇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④病退及提前退休人员待遇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⑤退休金发放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10.其他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①死亡抚恤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②其他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（五）</w:t>
            </w: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br w:type="textWrapping"/>
            </w: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卫生健康</w:t>
            </w: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1.公共卫生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①卫生服务管理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②疾病预防控制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③卫生应急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2.医政药政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①医疗机构管理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②医务人员管理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③医疗技术和服务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④血液管理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⑤医疗收费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⑥非法行医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⑦卫生监督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⑧药物政策管理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⑨罕见病治疗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3.医患纠纷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①医疗事故争议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②患者权益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③医护人员权益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4.人口监测与家庭发展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①人口政策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②奖励扶助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③计划生育服务管理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④计划生育特殊家庭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⑤计划生育手术并发症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5.中医中药管理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①发展政策机制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②从业人员资格准入和管理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③行业职业技能鉴定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④中药管理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6.其他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①其他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（六）</w:t>
            </w: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br w:type="textWrapping"/>
            </w: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教育</w:t>
            </w: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1.教育体制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①教育体制改革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②教育统筹管理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③教育资源配置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④异地升学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2.考试招生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①招生录取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②考场考纪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3.教育行政管理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①教学管理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②教育经费管理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③语言文字规范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④学历学位学籍管理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⑤学生负担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⑥民办学校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⑦校园安全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⑧学前教育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⑨职业教育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⑩校外培训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⑪其他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4.教师队伍和待遇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①培养培训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②招聘与管理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③师德师风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④教师待遇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⑤职称评定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⑥企业教师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FF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⑦原民办代课教师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FF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5.失学辍学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①教育救助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②控辍保学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6.教育收费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①收费标准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②乱收费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7.其他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①其他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（七）</w:t>
            </w: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br w:type="textWrapping"/>
            </w: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经济管理</w:t>
            </w: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1.宏观调控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①经济体制改革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②产业行业政策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③区域发展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④收入分配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2.商业贸易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①商务管理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②贸易发展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③劳务输出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④反倾销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⑤进出口管理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⑥出入境检验检疫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⑦电子商务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3.金融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①宏观金融管理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②银行业监管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③保险业监管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④证券业监管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⑤期货基金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⑥互联网金融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⑦集资融资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4.财税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①财税收支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②税收征管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5.国资监管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①企业改制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②企业兼并重组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③资产流失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6.能源管理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①能源开发供应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②节能降耗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③新能源产品研发与推广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7.企业破产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①政策性破产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②依法破产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8.审计监督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①审计管理体制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②审计质量监督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9.营商环境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①政务服务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②承诺兑现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10.共享经济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①资金监管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②利益保障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③服务管理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④物联网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11.其他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①中小企业管理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②其他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3" w:hRule="atLeast"/>
          <w:jc w:val="center"/>
        </w:trPr>
        <w:tc>
          <w:tcPr>
            <w:tcW w:w="1551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（八）</w:t>
            </w: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br w:type="textWrapping"/>
            </w: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市场监管</w:t>
            </w: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1.食品药品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①食品生产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②食品经营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③特殊食品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④食品抽检监测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⑤药品和医疗器械管理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⑥保健品化妆品管理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2.市场主体登记注册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①登记注册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②信息公示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3.反垄断与公平竞争审查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①反垄断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②公平竞争审查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4.市场秩序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①不正当竞争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②违法直销和传销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③制售假冒伪劣商品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④广告监管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⑤中介机构管理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⑥商标管理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⑦价格与收费监管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⑧消费投诉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⑨市场交易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⑩网络商品交易及服务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⑪无证无照经营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⑫其他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5.质量管理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①产品质量监控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②缺陷产品召回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③产品防伪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④质量抽查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⑤工业产品生产许可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⑥纤维检验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⑦特种设备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⑧认证认可标准化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⑨计量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6.知识产权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①知识产权申报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②知识产权保护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7.其他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①其他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（九）</w:t>
            </w: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br w:type="textWrapping"/>
            </w: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交通运输</w:t>
            </w: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1.建设管理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①规划建设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②设施维护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③规费征稽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④收费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⑤运营权管理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⑥其他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2.客货运输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①旅客运输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②货物运输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③物流管理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④运输安全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nil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3.港航及水上安全管理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①航道设施监管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nil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②船员船舶监管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nil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③打捞救助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nil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④航运事故处理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nil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⑤其他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4.铁路监管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①运输安全监督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②工程质量安全监督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③设备质量安全监督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④运输服务质量监督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⑤其他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5.民航管理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①民航工程质量安全监督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②民航旅客服务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③其他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6.邮政管理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①邮政行业规划与标准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②邮政市场监管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③快递行业管理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④邮政行业服务质量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⑤其他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7.出租车管理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①经营权转让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②运价监管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③网约车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8.其他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①其他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（十）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民政与应急</w:t>
            </w: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1.社会组织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①社会组织登记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FF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②社会组织管理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FF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2.社会救助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①城镇低保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②农村低保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③特困人员供养救助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④临时救助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⑤其他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3.基层选举和社区建设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①村委会选举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②居委会选举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③居务公开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④社区服务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4.区划地名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①区划调整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②地名管理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③边界纠纷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5.社会事务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①殡葬管理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②婚姻登记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③生活无着人员救助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④残疾人福利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6.养老服务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①服务管理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②老年人福利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7.儿童服务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①儿童福利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②儿童收养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③儿童保护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8.慈善事业促进和社会</w:t>
            </w: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br w:type="textWrapping"/>
            </w: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工作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①慈善捐助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②慈善机构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③福利彩票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④社会工作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⑤志愿服务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9.灾害救助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①救灾管理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②捐赠服务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10.安全生产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①安全生产管理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②安全隐患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③事故处理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11.应急救援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①安全生产类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②自然灾害类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③消防安全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④救援力量建设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⑤其他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12.防灾减灾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①森林草原火灾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②地震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③地质灾害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④其他灾害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37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13.其他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①其他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（十一）</w:t>
            </w: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br w:type="textWrapping"/>
            </w: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政法</w:t>
            </w: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1.法治建设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①立法规划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②法治宣传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③司法改革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④政策法规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⑤行政执法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2.诉讼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①刑事诉讼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②民事诉讼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③行政诉讼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④国家赔偿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⑤司法救助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3.仲裁与调解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①民商事仲裁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②劳动仲裁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③人事仲裁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④司法调解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⑤行政调解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⑥人民调解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4.行政复议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①复议申请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②不服决定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5.生效法律文书执行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①规范性法律文件执行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②行政复议决定执行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③其他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6.法律服务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①司法鉴定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②公证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③律师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④法律援助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⑤基层法律服务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7.法律监督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①审判监督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②侦查监督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③工作人员职务犯罪监督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8.刑罚执行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①监狱管理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②社区矫正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③戒毒管理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9.警务督察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①刑讯逼供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②超期羁押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③警务执法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④包庇违法违纪人员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10.社会治安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①治安案件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②扫黑除恶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③黄赌毒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④走私贩私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⑤拐卖人口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⑥邪教组织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⑦集会游行示威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⑧防范打击恐怖活动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⑨犬类管理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11.交通管理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①道路交通执勤执法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②道路交通事故处理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③机动车和驾驶人管理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④公安交通管理信息服务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12.刑案侦查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①立案侦查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②强制措施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③案件侦破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④财物处置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13.户籍证件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①户籍管理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②身份证管理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③流动人口管理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14.移民和出入境管理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①公民出入境管理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②外国人管理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③出入境边防检查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④边境管理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15.其他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①法律职业资格管理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②见义勇为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③其他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（十二）</w:t>
            </w: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br w:type="textWrapping"/>
            </w: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军队事务</w:t>
            </w: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1.军队建设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①军队人员管理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②军婚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③军产处置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2.军民融合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①战略与实施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②其他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3.军转干部安置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①计划安置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②自主择业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③企业军转干部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④随军家属安置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4.退役士兵安置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①转业退伍安置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②自谋职业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5.优待抚恤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①优待政策落实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②评残及伤残抚恤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③参战退役人员身份待遇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④参试退役人员身份待遇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⑤复员干部待遇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⑥老退役军人待遇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⑦遗属身份认定及待遇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⑧其他身份认定及待遇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6.褒扬纪念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①烈士评定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②烈士遗骸寻找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③烈士纪念设施维护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④英烈名誉保护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⑤荣誉褒扬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⑥其他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7.其他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①退役军人帮扶援助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②军休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③其他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（十三）</w:t>
            </w: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br w:type="textWrapping"/>
            </w: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科技与</w:t>
            </w: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br w:type="textWrapping"/>
            </w: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信息产业</w:t>
            </w: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1.科学技术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①科技体制改革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②科技资源配置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③科研诚信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360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④发明创造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⑤成果鉴定转化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FF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2.信息化建设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①信息产业发展规划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②软件行业管理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③互联网运营管理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3.电信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①电信资费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②通信保障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③运营商监管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④无线电管理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4.网络安全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①网络安全战略与规划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②网络安全审查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③数据安全和个人信息保护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④关键信息基础设施保护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⑤网络安全国家标准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5.其他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①其他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（十四）</w:t>
            </w: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br w:type="textWrapping"/>
            </w: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生态环境</w:t>
            </w: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1.环境污染与生态破坏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①水污染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②大气污染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③固体污染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④噪音污染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⑤危险化学品污染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⑥放射性污染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⑦电磁污染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⑧海洋污染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⑨生态破坏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⑩气候变化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⑪其他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2.建设项目审批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①项目审批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②环境评估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③未批先建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④未验先用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⑤其他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3.环境管理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①环境资质管理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②生态示范和模范城区创建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③环境监测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④环境执法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⑤污染损害纠纷调解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⑥专项资金使用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⑦淘汰落后产能补偿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⑧其他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（十五）  文体旅游</w:t>
            </w: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nil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1.文化管理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①文化体制改革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nil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②文化市场与文化执法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nil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③世界遗产与非物质文化遗产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nil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④文化艺术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nil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⑤公共文化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nil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⑥网络游戏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nil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⑦其他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2.旅游管理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①旅游市场管理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②景区管理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3.文物管理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①文物保护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②文物违法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③文物考古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④文物鉴定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⑤文物捐献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⑥其他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4.体育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①体育事业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②体育竞赛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③体育市场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④运动员权益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⑤体育场地设施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5.其他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①其他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（十六）</w:t>
            </w: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br w:type="textWrapping"/>
            </w: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党务政务</w:t>
            </w: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1.党的建设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①政治建设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②思想建设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③组织建设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④作风建设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⑤纪律建设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⑥制度建设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2.政治体制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①体制改革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②人大工作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③政协工作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④统战工作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3.民族宗教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①民族政策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②民族事务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③宗教事务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4.港澳台侨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①港澳事务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②台湾事务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③侨务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5.国防外交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①外交外事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②国防军事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6.群众团体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①工会工作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②共青团工作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③妇联工作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7.宣传舆论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①精神文明建设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②广播影视管理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③新闻管理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④出版管理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⑤互联网信息监管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8.政务服务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①电子政务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②信息公开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③其他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9.其他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①老干部工作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②其他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（十七）</w:t>
            </w: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br w:type="textWrapping"/>
            </w: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组织人事</w:t>
            </w: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1.选拔任用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①跑官要官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②任人唯亲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③干部任免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④职务升降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2.招录辞退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①招聘录用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②辞退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3.编制职位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①编制管理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②职位管理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4.人力资源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①人才工作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②人力市场管理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③职称评定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④专业资格考试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⑤职业资格考试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⑥人事调动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5.机构改革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①党和国家机构改革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②行政机构改革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③事业单位改制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④金融机构和国有企业改革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⑤乡镇机构改革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6.离休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①离休待遇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②退改离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7.其他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①档案和党组织关系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②其他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（十八）</w:t>
            </w: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br w:type="textWrapping"/>
            </w: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纪检监察</w:t>
            </w: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1.贪污贿赂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①贪污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②行贿受贿索贿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③挪用公款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④买官卖官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⑤财产来源不明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2.滥用职权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①以权谋私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②打击报复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3.失职渎职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①玩忽职守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②包庇纵容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③行政不作为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4.干部作风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①形式主义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②官僚主义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③享乐主义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④奢靡之风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5.党政处分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①党纪处分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②政务处分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6.其他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①其他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（十九）</w:t>
            </w: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br w:type="textWrapping"/>
            </w: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其他</w:t>
            </w: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1.历史遗留问题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①私房落实政策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②平反落实政策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③支边知青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④精减下放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⑤其他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2.领导事务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①评价反馈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②贺信贺卡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③其他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3.表达情感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①致敬致谢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②其他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4.其他</w:t>
            </w: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①内容不清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000000" w:sz="24" w:space="0"/>
            <w:left w:val="single" w:color="000000" w:sz="24" w:space="0"/>
            <w:bottom w:val="single" w:color="000000" w:sz="24" w:space="0"/>
            <w:right w:val="single" w:color="000000" w:sz="2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55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2679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  <w:tc>
          <w:tcPr>
            <w:tcW w:w="33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50" w:lineRule="atLeast"/>
              <w:jc w:val="center"/>
              <w:textAlignment w:val="center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color w:val="000000"/>
                <w:kern w:val="0"/>
                <w:sz w:val="21"/>
                <w:szCs w:val="21"/>
              </w:rPr>
              <w:t>②其他</w:t>
            </w:r>
          </w:p>
        </w:tc>
        <w:tc>
          <w:tcPr>
            <w:tcW w:w="11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jc w:val="left"/>
              <w:rPr>
                <w:rFonts w:hint="eastAsia" w:ascii="方正楷体_GBK" w:hAnsi="方正楷体_GBK" w:eastAsia="方正楷体_GBK" w:cs="方正楷体_GBK"/>
                <w:color w:val="383838"/>
                <w:kern w:val="0"/>
                <w:sz w:val="21"/>
                <w:szCs w:val="21"/>
              </w:rPr>
            </w:pPr>
          </w:p>
        </w:tc>
      </w:tr>
    </w:tbl>
    <w:p>
      <w:pPr>
        <w:widowControl/>
        <w:shd w:val="clear" w:color="auto" w:fill="FFFFFF"/>
        <w:spacing w:after="300" w:line="450" w:lineRule="atLeast"/>
        <w:jc w:val="left"/>
        <w:rPr>
          <w:rFonts w:ascii="微软雅黑" w:hAnsi="微软雅黑" w:eastAsia="微软雅黑" w:cs="宋体"/>
          <w:color w:val="383838"/>
          <w:kern w:val="0"/>
          <w:sz w:val="24"/>
          <w:szCs w:val="24"/>
        </w:rPr>
      </w:pPr>
      <w:r>
        <w:rPr>
          <w:rFonts w:hint="eastAsia" w:ascii="微软雅黑" w:hAnsi="微软雅黑" w:eastAsia="微软雅黑" w:cs="宋体"/>
          <w:color w:val="383838"/>
          <w:kern w:val="0"/>
          <w:sz w:val="21"/>
          <w:szCs w:val="21"/>
        </w:rPr>
        <w:t> </w:t>
      </w:r>
    </w:p>
    <w:p>
      <w:pPr>
        <w:shd w:val="clear" w:color="auto" w:fill="FFFFFF"/>
        <w:jc w:val="center"/>
      </w:pPr>
    </w:p>
    <w:sectPr>
      <w:pgSz w:w="11906" w:h="16838"/>
      <w:pgMar w:top="1701" w:right="1531" w:bottom="1531" w:left="170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方正宋体S-超大字符集(SIP)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方正宋体S-超大字符集(SIP)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微软雅黑">
    <w:altName w:val="方正黑体_GBK"/>
    <w:panose1 w:val="020B0503020204020204"/>
    <w:charset w:val="86"/>
    <w:family w:val="swiss"/>
    <w:pitch w:val="default"/>
    <w:sig w:usb0="00000000" w:usb1="00000000" w:usb2="00000016" w:usb3="00000000" w:csb0="0004001F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楷体">
    <w:altName w:val="方正楷体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Cambria Math">
    <w:altName w:val="DejaVu Math TeX Gyre"/>
    <w:panose1 w:val="02040503050406030204"/>
    <w:charset w:val="00"/>
    <w:family w:val="roman"/>
    <w:pitch w:val="default"/>
    <w:sig w:usb0="00000000" w:usb1="00000000" w:usb2="00000000" w:usb3="00000000" w:csb0="0000019F" w:csb1="00000000"/>
  </w:font>
  <w:font w:name="DejaVu Math TeX Gyre">
    <w:panose1 w:val="02000503000000000000"/>
    <w:charset w:val="00"/>
    <w:family w:val="auto"/>
    <w:pitch w:val="default"/>
    <w:sig w:usb0="A10000EF" w:usb1="4201F9EE" w:usb2="02000000" w:usb3="00000000" w:csb0="60000193" w:csb1="0DD4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Liberation Serif">
    <w:panose1 w:val="02020603050405020304"/>
    <w:charset w:val="00"/>
    <w:family w:val="auto"/>
    <w:pitch w:val="default"/>
    <w:sig w:usb0="A00002AF" w:usb1="500078FB" w:usb2="00000000" w:usb3="00000000" w:csb0="6000009F" w:csb1="DFD70000"/>
  </w:font>
  <w:font w:name="Noto Sans CJK HK">
    <w:panose1 w:val="020B0500000000000000"/>
    <w:charset w:val="88"/>
    <w:family w:val="auto"/>
    <w:pitch w:val="default"/>
    <w:sig w:usb0="30000083" w:usb1="2BDF3C10" w:usb2="00000016" w:usb3="00000000" w:csb0="603A0107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245B"/>
    <w:rsid w:val="00125128"/>
    <w:rsid w:val="0040386B"/>
    <w:rsid w:val="00573941"/>
    <w:rsid w:val="0071245B"/>
    <w:rsid w:val="00C45A69"/>
    <w:rsid w:val="00DA7D8F"/>
    <w:rsid w:val="00EF2430"/>
    <w:rsid w:val="5FBFD7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2"/>
    <w:qFormat/>
    <w:uiPriority w:val="9"/>
    <w:pPr>
      <w:widowControl/>
      <w:spacing w:before="100" w:beforeAutospacing="1" w:after="100" w:afterAutospacing="1"/>
      <w:jc w:val="left"/>
      <w:outlineLvl w:val="0"/>
    </w:pPr>
    <w:rPr>
      <w:rFonts w:ascii="宋体" w:hAnsi="宋体" w:eastAsia="宋体" w:cs="宋体"/>
      <w:b/>
      <w:bCs/>
      <w:kern w:val="36"/>
      <w:sz w:val="48"/>
      <w:szCs w:val="48"/>
    </w:rPr>
  </w:style>
  <w:style w:type="paragraph" w:styleId="3">
    <w:name w:val="heading 3"/>
    <w:basedOn w:val="1"/>
    <w:next w:val="1"/>
    <w:link w:val="16"/>
    <w:semiHidden/>
    <w:unhideWhenUsed/>
    <w:qFormat/>
    <w:uiPriority w:val="9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footer"/>
    <w:basedOn w:val="1"/>
    <w:link w:val="15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4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styleId="9">
    <w:name w:val="Strong"/>
    <w:basedOn w:val="8"/>
    <w:qFormat/>
    <w:uiPriority w:val="22"/>
    <w:rPr>
      <w:b/>
      <w:bCs/>
    </w:rPr>
  </w:style>
  <w:style w:type="character" w:styleId="10">
    <w:name w:val="Emphasis"/>
    <w:basedOn w:val="8"/>
    <w:qFormat/>
    <w:uiPriority w:val="20"/>
    <w:rPr>
      <w:i/>
      <w:iCs/>
    </w:rPr>
  </w:style>
  <w:style w:type="character" w:styleId="11">
    <w:name w:val="Hyperlink"/>
    <w:basedOn w:val="8"/>
    <w:semiHidden/>
    <w:unhideWhenUsed/>
    <w:qFormat/>
    <w:uiPriority w:val="99"/>
    <w:rPr>
      <w:color w:val="0000FF"/>
      <w:u w:val="single"/>
    </w:rPr>
  </w:style>
  <w:style w:type="character" w:customStyle="1" w:styleId="12">
    <w:name w:val="标题 1 Char"/>
    <w:basedOn w:val="8"/>
    <w:link w:val="2"/>
    <w:qFormat/>
    <w:uiPriority w:val="9"/>
    <w:rPr>
      <w:rFonts w:ascii="宋体" w:hAnsi="宋体" w:eastAsia="宋体" w:cs="宋体"/>
      <w:b/>
      <w:bCs/>
      <w:kern w:val="36"/>
      <w:sz w:val="48"/>
      <w:szCs w:val="48"/>
    </w:rPr>
  </w:style>
  <w:style w:type="character" w:customStyle="1" w:styleId="13">
    <w:name w:val="rich_media_meta"/>
    <w:basedOn w:val="8"/>
    <w:qFormat/>
    <w:uiPriority w:val="0"/>
  </w:style>
  <w:style w:type="character" w:customStyle="1" w:styleId="14">
    <w:name w:val="页眉 Char"/>
    <w:basedOn w:val="8"/>
    <w:link w:val="5"/>
    <w:qFormat/>
    <w:uiPriority w:val="99"/>
    <w:rPr>
      <w:sz w:val="18"/>
      <w:szCs w:val="18"/>
    </w:rPr>
  </w:style>
  <w:style w:type="character" w:customStyle="1" w:styleId="15">
    <w:name w:val="页脚 Char"/>
    <w:basedOn w:val="8"/>
    <w:link w:val="4"/>
    <w:qFormat/>
    <w:uiPriority w:val="99"/>
    <w:rPr>
      <w:sz w:val="18"/>
      <w:szCs w:val="18"/>
    </w:rPr>
  </w:style>
  <w:style w:type="character" w:customStyle="1" w:styleId="16">
    <w:name w:val="标题 3 Char"/>
    <w:basedOn w:val="8"/>
    <w:link w:val="3"/>
    <w:semiHidden/>
    <w:qFormat/>
    <w:uiPriority w:val="9"/>
    <w:rPr>
      <w:b/>
      <w:bCs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21</Pages>
  <Words>1273</Words>
  <Characters>7260</Characters>
  <Lines>60</Lines>
  <Paragraphs>17</Paragraphs>
  <TotalTime>66</TotalTime>
  <ScaleCrop>false</ScaleCrop>
  <LinksUpToDate>false</LinksUpToDate>
  <CharactersWithSpaces>8516</CharactersWithSpaces>
  <Application>WPS Office_11.8.2.11653_F1E327BC-269C-435d-A152-05C5408002CA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2024-09-12T08:44:00Z</dcterms:created>
  <dc:creator>Lenovo</dc:creator>
  <cp:lastModifiedBy>kylin</cp:lastModifiedBy>
  <dcterms:modified xsi:type="dcterms:W3CDTF">2024-10-09T15:59:03Z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2052-11.8.2.11653</vt:lpwstr>
  </property>
  <property fmtid="{D5CDD505-2E9C-101B-9397-08002B2CF9AE}" pid="3" name="ICV">
    <vt:lpwstr>7FF186ECB176785BC73706672B9F3350</vt:lpwstr>
  </property>
</Properties>
</file>